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5ADC3" w14:textId="319F5666" w:rsidR="00400959" w:rsidRDefault="00400959" w:rsidP="004009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Приложение № 4</w:t>
      </w:r>
    </w:p>
    <w:p w14:paraId="6334ED68" w14:textId="77777777" w:rsidR="00400959" w:rsidRPr="00400959" w:rsidRDefault="00400959" w:rsidP="004009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1FC0BAB" w14:textId="335A5182" w:rsidR="00A52812" w:rsidRDefault="00A52812" w:rsidP="00A52812">
      <w:pPr>
        <w:pStyle w:val="a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</w:t>
      </w:r>
    </w:p>
    <w:p w14:paraId="0D5851A0" w14:textId="77777777" w:rsidR="00A52812" w:rsidRDefault="00A52812" w:rsidP="00A52812">
      <w:pPr>
        <w:pStyle w:val="a"/>
        <w:widowControl w:val="0"/>
        <w:spacing w:after="0" w:line="360" w:lineRule="auto"/>
        <w:jc w:val="both"/>
      </w:pP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За оценяване на концепциите и резултатите от проведените интервюта с кандидатите, участници в конкурс за избор на членове на съветите на директорите на дъщерните дружества на „Национална компания индустриални зони“ ЕАД </w:t>
      </w:r>
      <w:r>
        <w:rPr>
          <w:rStyle w:val="a0"/>
          <w:rFonts w:ascii="Times New Roman" w:eastAsia="Verdana" w:hAnsi="Times New Roman"/>
          <w:b/>
          <w:bCs/>
          <w:color w:val="000000"/>
          <w:sz w:val="24"/>
          <w:szCs w:val="24"/>
          <w:lang w:eastAsia="bg-BG" w:bidi="bg-BG"/>
        </w:rPr>
        <w:t>(НКИЗ ЕАД)</w:t>
      </w:r>
    </w:p>
    <w:p w14:paraId="38DE8F77" w14:textId="1B45EB9F" w:rsidR="00A52812" w:rsidRDefault="00A52812" w:rsidP="00A52812">
      <w:pPr>
        <w:pStyle w:val="a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A52812">
        <w:rPr>
          <w:rFonts w:ascii="Times New Roman" w:hAnsi="Times New Roman"/>
          <w:sz w:val="24"/>
          <w:szCs w:val="24"/>
        </w:rPr>
        <w:t>(одо</w:t>
      </w:r>
      <w:r>
        <w:rPr>
          <w:rFonts w:ascii="Times New Roman" w:hAnsi="Times New Roman"/>
          <w:sz w:val="24"/>
          <w:szCs w:val="24"/>
        </w:rPr>
        <w:t>брена и приета с решение на</w:t>
      </w:r>
      <w:r w:rsidR="00F15D66">
        <w:rPr>
          <w:rFonts w:ascii="Times New Roman" w:hAnsi="Times New Roman"/>
          <w:sz w:val="24"/>
          <w:szCs w:val="24"/>
        </w:rPr>
        <w:t xml:space="preserve"> Съвета на директорите на НКИЗ </w:t>
      </w:r>
      <w:r>
        <w:rPr>
          <w:rFonts w:ascii="Times New Roman" w:hAnsi="Times New Roman"/>
          <w:sz w:val="24"/>
          <w:szCs w:val="24"/>
        </w:rPr>
        <w:t>ЕАД, отразено в Протокол №</w:t>
      </w:r>
      <w:r w:rsidR="00F15D66">
        <w:rPr>
          <w:rFonts w:ascii="Times New Roman" w:hAnsi="Times New Roman"/>
          <w:sz w:val="24"/>
          <w:szCs w:val="24"/>
        </w:rPr>
        <w:t xml:space="preserve"> 3 </w:t>
      </w:r>
      <w:bookmarkStart w:id="0" w:name="_GoBack"/>
      <w:bookmarkEnd w:id="0"/>
      <w:r w:rsidR="00F15D66">
        <w:rPr>
          <w:rFonts w:ascii="Times New Roman" w:hAnsi="Times New Roman"/>
          <w:sz w:val="24"/>
          <w:szCs w:val="24"/>
        </w:rPr>
        <w:t>от 17.</w:t>
      </w:r>
      <w:r>
        <w:rPr>
          <w:rFonts w:ascii="Times New Roman" w:hAnsi="Times New Roman"/>
          <w:sz w:val="24"/>
          <w:szCs w:val="24"/>
        </w:rPr>
        <w:t>12.2020 г.)</w:t>
      </w:r>
    </w:p>
    <w:p w14:paraId="04C9F957" w14:textId="77777777" w:rsidR="00A52812" w:rsidRPr="00A52812" w:rsidRDefault="00A52812" w:rsidP="00A52812">
      <w:pPr>
        <w:pStyle w:val="a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A94DF4" w14:textId="77777777" w:rsidR="00A52812" w:rsidRDefault="00A52812" w:rsidP="00A52812">
      <w:pPr>
        <w:pStyle w:val="a1"/>
        <w:widowControl w:val="0"/>
        <w:spacing w:after="176" w:line="360" w:lineRule="auto"/>
        <w:jc w:val="both"/>
      </w:pPr>
      <w:r>
        <w:rPr>
          <w:rStyle w:val="a0"/>
          <w:rFonts w:ascii="Times New Roman" w:eastAsia="Verdana" w:hAnsi="Times New Roman"/>
          <w:b/>
          <w:bCs/>
          <w:color w:val="000000"/>
          <w:sz w:val="24"/>
          <w:szCs w:val="24"/>
          <w:lang w:val="en-GB" w:eastAsia="bg-BG" w:bidi="bg-BG"/>
        </w:rPr>
        <w:t>I</w:t>
      </w:r>
      <w:r>
        <w:rPr>
          <w:rStyle w:val="a0"/>
          <w:rFonts w:ascii="Times New Roman" w:eastAsia="Verdana" w:hAnsi="Times New Roman"/>
          <w:b/>
          <w:bCs/>
          <w:color w:val="000000"/>
          <w:sz w:val="24"/>
          <w:szCs w:val="24"/>
          <w:lang w:eastAsia="bg-BG" w:bidi="bg-BG"/>
        </w:rPr>
        <w:t>. Методика за оценяване на концепция:</w:t>
      </w:r>
    </w:p>
    <w:p w14:paraId="30205CD0" w14:textId="77777777" w:rsidR="00A52812" w:rsidRDefault="00A52812" w:rsidP="00A52812">
      <w:pPr>
        <w:pStyle w:val="Bodytext2"/>
        <w:shd w:val="clear" w:color="auto" w:fill="auto"/>
        <w:tabs>
          <w:tab w:val="left" w:pos="720"/>
        </w:tabs>
        <w:spacing w:after="60" w:line="360" w:lineRule="auto"/>
        <w:ind w:firstLine="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eastAsia="bg-BG" w:bidi="bg-BG"/>
        </w:rPr>
        <w:tab/>
      </w: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1.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Представените от кандидатите концепции</w:t>
      </w: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следва да са разработени максимално ясно и конкретно, да са обвързани с мисията, визията и предмета на дейност на предприятието, направените предложения за развитието му да са в съответствие с политиката на „НКИЗ“ ЕАД за управление на дъщерните му дружества, да са предложени дългосрочни и средносрочни показатели за изпълнението й и да е отчетено текущото финансово състояние на предприятието.</w:t>
      </w:r>
    </w:p>
    <w:p w14:paraId="649562DD" w14:textId="58948EFD" w:rsidR="00A52812" w:rsidRPr="00913B10" w:rsidRDefault="00A52812" w:rsidP="00A52812">
      <w:pPr>
        <w:pStyle w:val="a"/>
        <w:widowControl w:val="0"/>
        <w:tabs>
          <w:tab w:val="left" w:pos="720"/>
        </w:tabs>
        <w:spacing w:after="56" w:line="360" w:lineRule="auto"/>
        <w:jc w:val="both"/>
        <w:rPr>
          <w:rFonts w:ascii="Times New Roman" w:eastAsia="Verdana" w:hAnsi="Times New Roman"/>
          <w:color w:val="000000"/>
          <w:sz w:val="24"/>
          <w:szCs w:val="24"/>
          <w:lang w:val="en-US" w:eastAsia="bg-BG" w:bidi="bg-BG"/>
        </w:rPr>
      </w:pPr>
      <w:r>
        <w:rPr>
          <w:rStyle w:val="a0"/>
          <w:rFonts w:ascii="Times New Roman" w:eastAsia="Verdana" w:hAnsi="Times New Roman"/>
          <w:color w:val="000000"/>
          <w:sz w:val="24"/>
          <w:szCs w:val="24"/>
          <w:lang w:eastAsia="bg-BG" w:bidi="bg-BG"/>
        </w:rPr>
        <w:tab/>
        <w:t>При оценката на писмената работа се отчитат уменията на Кандидатите за яснота и стегнат стил на изложението, прецизно формулиране на целите и посочване на оптимални мерки за тяхното постигане, като бъдат посочени възможните рискове.</w:t>
      </w:r>
      <w:r w:rsidR="00F3627A">
        <w:rPr>
          <w:rStyle w:val="a0"/>
          <w:rFonts w:ascii="Times New Roman" w:eastAsia="Verdana" w:hAnsi="Times New Roman"/>
          <w:color w:val="000000"/>
          <w:sz w:val="24"/>
          <w:szCs w:val="24"/>
          <w:lang w:eastAsia="bg-BG" w:bidi="bg-BG"/>
        </w:rPr>
        <w:t xml:space="preserve"> Критериите за оценка включват</w:t>
      </w:r>
      <w:r w:rsidR="00D54EB8">
        <w:rPr>
          <w:rStyle w:val="a0"/>
          <w:rFonts w:ascii="Times New Roman" w:eastAsia="Verdana" w:hAnsi="Times New Roman"/>
          <w:color w:val="000000"/>
          <w:sz w:val="24"/>
          <w:szCs w:val="24"/>
          <w:lang w:eastAsia="bg-BG" w:bidi="bg-BG"/>
        </w:rPr>
        <w:t xml:space="preserve"> още </w:t>
      </w:r>
      <w:r w:rsidR="00F3627A" w:rsidRPr="00F3627A">
        <w:rPr>
          <w:rStyle w:val="a0"/>
          <w:rFonts w:ascii="Times New Roman" w:eastAsia="Verdana" w:hAnsi="Times New Roman"/>
          <w:color w:val="000000"/>
          <w:sz w:val="24"/>
          <w:szCs w:val="24"/>
          <w:lang w:eastAsia="bg-BG" w:bidi="bg-BG"/>
        </w:rPr>
        <w:t xml:space="preserve">последователност на изложението, </w:t>
      </w:r>
      <w:r w:rsidR="00D54EB8">
        <w:rPr>
          <w:rStyle w:val="a0"/>
          <w:rFonts w:ascii="Times New Roman" w:eastAsia="Verdana" w:hAnsi="Times New Roman"/>
          <w:color w:val="000000"/>
          <w:sz w:val="24"/>
          <w:szCs w:val="24"/>
          <w:lang w:eastAsia="bg-BG" w:bidi="bg-BG"/>
        </w:rPr>
        <w:t xml:space="preserve">логичност, използван стил, лексика и терминология </w:t>
      </w:r>
      <w:r w:rsidR="00F3627A" w:rsidRPr="00F3627A">
        <w:rPr>
          <w:rStyle w:val="a0"/>
          <w:rFonts w:ascii="Times New Roman" w:eastAsia="Verdana" w:hAnsi="Times New Roman"/>
          <w:color w:val="000000"/>
          <w:sz w:val="24"/>
          <w:szCs w:val="24"/>
          <w:lang w:eastAsia="bg-BG" w:bidi="bg-BG"/>
        </w:rPr>
        <w:t>в писменото изложение</w:t>
      </w:r>
      <w:r w:rsidR="00883E0A">
        <w:rPr>
          <w:rStyle w:val="a0"/>
          <w:rFonts w:ascii="Times New Roman" w:eastAsia="Verdana" w:hAnsi="Times New Roman"/>
          <w:color w:val="000000"/>
          <w:sz w:val="24"/>
          <w:szCs w:val="24"/>
          <w:lang w:val="en-US" w:eastAsia="bg-BG" w:bidi="bg-BG"/>
        </w:rPr>
        <w:t>.</w:t>
      </w:r>
    </w:p>
    <w:p w14:paraId="51FEA72E" w14:textId="77777777" w:rsidR="00A52812" w:rsidRDefault="00A52812" w:rsidP="00A52812">
      <w:pPr>
        <w:pStyle w:val="Bodytext2"/>
        <w:shd w:val="clear" w:color="auto" w:fill="auto"/>
        <w:spacing w:after="64" w:line="360" w:lineRule="auto"/>
        <w:ind w:firstLine="74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 xml:space="preserve">2.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Концепцията се оценява по 5-степенна скала от всеки член на Комисията, както следва:</w:t>
      </w:r>
    </w:p>
    <w:p w14:paraId="316062F5" w14:textId="77777777" w:rsidR="00A52812" w:rsidRDefault="00A52812" w:rsidP="00A52812">
      <w:pPr>
        <w:pStyle w:val="Bodytext2"/>
        <w:shd w:val="clear" w:color="auto" w:fill="auto"/>
        <w:spacing w:line="360" w:lineRule="auto"/>
        <w:ind w:left="743" w:firstLine="0"/>
        <w:jc w:val="both"/>
      </w:pPr>
      <w:r>
        <w:rPr>
          <w:rStyle w:val="a0"/>
          <w:rFonts w:ascii="Times New Roman" w:hAnsi="Times New Roman" w:cs="Times New Roman"/>
          <w:b/>
          <w:bCs/>
          <w:sz w:val="24"/>
          <w:szCs w:val="24"/>
          <w:lang w:bidi="bg-BG"/>
        </w:rPr>
        <w:t>5</w:t>
      </w:r>
      <w:r>
        <w:rPr>
          <w:rStyle w:val="a0"/>
          <w:rFonts w:ascii="Times New Roman" w:hAnsi="Times New Roman" w:cs="Times New Roman"/>
          <w:sz w:val="24"/>
          <w:szCs w:val="24"/>
          <w:lang w:bidi="bg-BG"/>
        </w:rPr>
        <w:t xml:space="preserve">   - напълно отговаря на изискванията</w:t>
      </w:r>
    </w:p>
    <w:p w14:paraId="59C12346" w14:textId="77777777" w:rsidR="00A52812" w:rsidRDefault="00A52812" w:rsidP="00A52812">
      <w:pPr>
        <w:pStyle w:val="Bodytext2"/>
        <w:numPr>
          <w:ilvl w:val="0"/>
          <w:numId w:val="1"/>
        </w:numPr>
        <w:shd w:val="clear" w:color="auto" w:fill="auto"/>
        <w:tabs>
          <w:tab w:val="left" w:pos="1074"/>
        </w:tabs>
        <w:spacing w:line="360" w:lineRule="auto"/>
        <w:ind w:left="743" w:firstLine="0"/>
        <w:jc w:val="both"/>
      </w:pPr>
      <w:r>
        <w:rPr>
          <w:rStyle w:val="a0"/>
          <w:rFonts w:ascii="Times New Roman" w:hAnsi="Times New Roman" w:cs="Times New Roman"/>
          <w:sz w:val="24"/>
          <w:szCs w:val="24"/>
          <w:lang w:bidi="bg-BG"/>
        </w:rPr>
        <w:t>- в голяма степен отговаря на изискванията</w:t>
      </w:r>
    </w:p>
    <w:p w14:paraId="61731F33" w14:textId="77777777" w:rsidR="00A52812" w:rsidRDefault="00A52812" w:rsidP="00A52812">
      <w:pPr>
        <w:pStyle w:val="Bodytext2"/>
        <w:numPr>
          <w:ilvl w:val="0"/>
          <w:numId w:val="2"/>
        </w:numPr>
        <w:shd w:val="clear" w:color="auto" w:fill="auto"/>
        <w:tabs>
          <w:tab w:val="left" w:pos="-45"/>
        </w:tabs>
        <w:spacing w:line="360" w:lineRule="auto"/>
        <w:jc w:val="both"/>
      </w:pPr>
      <w:r>
        <w:rPr>
          <w:rStyle w:val="a0"/>
          <w:rFonts w:ascii="Times New Roman" w:hAnsi="Times New Roman" w:cs="Times New Roman"/>
          <w:sz w:val="24"/>
          <w:szCs w:val="24"/>
          <w:lang w:bidi="bg-BG"/>
        </w:rPr>
        <w:t>- в средна степен отговаря на изискванията</w:t>
      </w:r>
    </w:p>
    <w:p w14:paraId="1880E183" w14:textId="77777777" w:rsidR="00A52812" w:rsidRDefault="00A52812" w:rsidP="00A52812">
      <w:pPr>
        <w:pStyle w:val="Bodytext2"/>
        <w:numPr>
          <w:ilvl w:val="0"/>
          <w:numId w:val="3"/>
        </w:numPr>
        <w:shd w:val="clear" w:color="auto" w:fill="auto"/>
        <w:tabs>
          <w:tab w:val="left" w:pos="-40"/>
        </w:tabs>
        <w:spacing w:line="360" w:lineRule="auto"/>
        <w:jc w:val="both"/>
      </w:pPr>
      <w:r>
        <w:rPr>
          <w:rStyle w:val="a0"/>
          <w:rFonts w:ascii="Times New Roman" w:hAnsi="Times New Roman" w:cs="Times New Roman"/>
          <w:sz w:val="24"/>
          <w:szCs w:val="24"/>
          <w:lang w:bidi="bg-BG"/>
        </w:rPr>
        <w:t>- в малка степен отговаря на изискванията</w:t>
      </w:r>
    </w:p>
    <w:p w14:paraId="23582D57" w14:textId="77777777" w:rsidR="00A52812" w:rsidRDefault="00A52812" w:rsidP="00A52812">
      <w:pPr>
        <w:pStyle w:val="Bodytext2"/>
        <w:shd w:val="clear" w:color="auto" w:fill="auto"/>
        <w:tabs>
          <w:tab w:val="left" w:pos="1036"/>
        </w:tabs>
        <w:spacing w:after="60" w:line="360" w:lineRule="auto"/>
        <w:ind w:left="740" w:firstLine="0"/>
        <w:jc w:val="both"/>
      </w:pPr>
      <w:r>
        <w:rPr>
          <w:rStyle w:val="a0"/>
          <w:rFonts w:ascii="Times New Roman" w:hAnsi="Times New Roman" w:cs="Times New Roman"/>
          <w:b/>
          <w:bCs/>
          <w:sz w:val="24"/>
          <w:szCs w:val="24"/>
          <w:lang w:bidi="bg-BG"/>
        </w:rPr>
        <w:t>1</w:t>
      </w:r>
      <w:r>
        <w:rPr>
          <w:rStyle w:val="a0"/>
          <w:rFonts w:ascii="Times New Roman" w:hAnsi="Times New Roman" w:cs="Times New Roman"/>
          <w:sz w:val="24"/>
          <w:szCs w:val="24"/>
          <w:lang w:bidi="bg-BG"/>
        </w:rPr>
        <w:tab/>
        <w:t>- не отговаря на изискванията</w:t>
      </w:r>
    </w:p>
    <w:p w14:paraId="08D038C7" w14:textId="77777777" w:rsidR="00A52812" w:rsidRDefault="00A52812" w:rsidP="00A52812">
      <w:pPr>
        <w:pStyle w:val="Bodytext2"/>
        <w:shd w:val="clear" w:color="auto" w:fill="auto"/>
        <w:spacing w:after="60" w:line="360" w:lineRule="auto"/>
        <w:ind w:firstLine="74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 xml:space="preserve">3.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Общата оценка на всеки кандидат по писмената част се получава като средноаритметична величина от оценките на всички членове на Комисията.</w:t>
      </w:r>
    </w:p>
    <w:p w14:paraId="371ED96C" w14:textId="77777777" w:rsidR="00A52812" w:rsidRPr="00DA44BD" w:rsidRDefault="00A52812" w:rsidP="00A52812">
      <w:pPr>
        <w:pStyle w:val="Bodytext2"/>
        <w:shd w:val="clear" w:color="auto" w:fill="auto"/>
        <w:spacing w:after="56" w:line="360" w:lineRule="auto"/>
        <w:ind w:firstLine="74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4.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Кандидати, чиито концепции са оценени по реда на предходната алинея не по-ниско от „4", се допускат до участие в интервю.</w:t>
      </w:r>
    </w:p>
    <w:p w14:paraId="3587E7BD" w14:textId="162D738E" w:rsidR="00A52812" w:rsidRDefault="00A52812" w:rsidP="00A52812">
      <w:pPr>
        <w:pStyle w:val="Bodytext2"/>
        <w:shd w:val="clear" w:color="auto" w:fill="auto"/>
        <w:spacing w:after="56" w:line="360" w:lineRule="auto"/>
        <w:ind w:firstLine="708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val="en-GB" w:bidi="bg-BG"/>
        </w:rPr>
        <w:lastRenderedPageBreak/>
        <w:t>II</w:t>
      </w: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. Методика за оценяване на резултатите от пр</w:t>
      </w:r>
      <w:r w:rsidR="00F3627A"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о</w:t>
      </w: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ведените интервюта:</w:t>
      </w:r>
    </w:p>
    <w:p w14:paraId="39D21FE4" w14:textId="77777777" w:rsidR="00A52812" w:rsidRDefault="00A52812" w:rsidP="00A52812">
      <w:pPr>
        <w:pStyle w:val="Bodytext2"/>
        <w:shd w:val="clear" w:color="auto" w:fill="auto"/>
        <w:spacing w:after="60" w:line="360" w:lineRule="auto"/>
        <w:ind w:firstLine="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ab/>
        <w:t>С допуснатите до участие Кандидати по реда на предходния член се провежда интервю, като те се оценяват от всеки един член на Комисията по всички критерии по 5-степенна скала въз основа на предоставените отговори на въпросите на Комисията.</w:t>
      </w:r>
    </w:p>
    <w:p w14:paraId="4D1E4CB0" w14:textId="2187494F" w:rsidR="00A52812" w:rsidRDefault="00A52812" w:rsidP="00A52812">
      <w:pPr>
        <w:pStyle w:val="Bodytext2"/>
        <w:shd w:val="clear" w:color="auto" w:fill="auto"/>
        <w:tabs>
          <w:tab w:val="left" w:pos="810"/>
        </w:tabs>
        <w:spacing w:after="64" w:line="360" w:lineRule="auto"/>
        <w:ind w:firstLine="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ab/>
      </w: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1.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Критериите за оценка на кандидатите от</w:t>
      </w:r>
      <w:r w:rsidR="00913B10"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</w:t>
      </w:r>
      <w:r w:rsidR="00F3627A"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събеседването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, включват оценка на нивото на следните компетентности:</w:t>
      </w:r>
    </w:p>
    <w:p w14:paraId="1E70D421" w14:textId="77777777" w:rsidR="00A52812" w:rsidRDefault="00A52812" w:rsidP="00A52812">
      <w:pPr>
        <w:pStyle w:val="Bodytext2"/>
        <w:numPr>
          <w:ilvl w:val="0"/>
          <w:numId w:val="4"/>
        </w:numPr>
        <w:shd w:val="clear" w:color="auto" w:fill="auto"/>
        <w:tabs>
          <w:tab w:val="left" w:pos="1022"/>
        </w:tabs>
        <w:spacing w:line="360" w:lineRule="auto"/>
        <w:ind w:left="110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стратегическа компетентност</w:t>
      </w:r>
    </w:p>
    <w:p w14:paraId="6986C7CF" w14:textId="77777777" w:rsidR="00A52812" w:rsidRDefault="00A52812" w:rsidP="00A52812">
      <w:pPr>
        <w:pStyle w:val="Bodytext2"/>
        <w:numPr>
          <w:ilvl w:val="0"/>
          <w:numId w:val="4"/>
        </w:numPr>
        <w:shd w:val="clear" w:color="auto" w:fill="auto"/>
        <w:tabs>
          <w:tab w:val="left" w:pos="1022"/>
        </w:tabs>
        <w:spacing w:line="360" w:lineRule="auto"/>
        <w:ind w:left="110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лидерска компетентност</w:t>
      </w:r>
    </w:p>
    <w:p w14:paraId="72AC3786" w14:textId="77777777" w:rsidR="00A52812" w:rsidRDefault="00A52812" w:rsidP="00A52812">
      <w:pPr>
        <w:pStyle w:val="Bodytext2"/>
        <w:numPr>
          <w:ilvl w:val="0"/>
          <w:numId w:val="4"/>
        </w:numPr>
        <w:shd w:val="clear" w:color="auto" w:fill="auto"/>
        <w:tabs>
          <w:tab w:val="left" w:pos="1022"/>
        </w:tabs>
        <w:spacing w:line="360" w:lineRule="auto"/>
        <w:ind w:left="110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управленска компетентност</w:t>
      </w:r>
    </w:p>
    <w:p w14:paraId="53DAFC06" w14:textId="77777777" w:rsidR="00A52812" w:rsidRDefault="00A52812" w:rsidP="00A52812">
      <w:pPr>
        <w:pStyle w:val="Bodytext2"/>
        <w:numPr>
          <w:ilvl w:val="0"/>
          <w:numId w:val="4"/>
        </w:numPr>
        <w:shd w:val="clear" w:color="auto" w:fill="auto"/>
        <w:tabs>
          <w:tab w:val="left" w:pos="1022"/>
        </w:tabs>
        <w:spacing w:line="360" w:lineRule="auto"/>
        <w:ind w:left="110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ориентация към резултати</w:t>
      </w:r>
    </w:p>
    <w:p w14:paraId="13036533" w14:textId="77777777" w:rsidR="00A52812" w:rsidRDefault="00A52812" w:rsidP="00A52812">
      <w:pPr>
        <w:pStyle w:val="Bodytext2"/>
        <w:numPr>
          <w:ilvl w:val="0"/>
          <w:numId w:val="4"/>
        </w:numPr>
        <w:shd w:val="clear" w:color="auto" w:fill="auto"/>
        <w:tabs>
          <w:tab w:val="left" w:pos="1022"/>
        </w:tabs>
        <w:spacing w:line="360" w:lineRule="auto"/>
        <w:ind w:left="110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компетентност за преговори и убеждаване</w:t>
      </w:r>
    </w:p>
    <w:p w14:paraId="044E020A" w14:textId="77777777" w:rsidR="00A52812" w:rsidRDefault="00A52812" w:rsidP="00A52812">
      <w:pPr>
        <w:pStyle w:val="Bodytext2"/>
        <w:numPr>
          <w:ilvl w:val="0"/>
          <w:numId w:val="4"/>
        </w:numPr>
        <w:shd w:val="clear" w:color="auto" w:fill="auto"/>
        <w:tabs>
          <w:tab w:val="left" w:pos="1022"/>
        </w:tabs>
        <w:spacing w:after="56" w:line="360" w:lineRule="auto"/>
        <w:ind w:left="110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работа в екип</w:t>
      </w:r>
    </w:p>
    <w:p w14:paraId="75358F39" w14:textId="2BFD99AB" w:rsidR="00F3627A" w:rsidRPr="00913B10" w:rsidRDefault="00A52812" w:rsidP="00913B10">
      <w:pPr>
        <w:pStyle w:val="Bodytext2"/>
        <w:shd w:val="clear" w:color="auto" w:fill="auto"/>
        <w:tabs>
          <w:tab w:val="left" w:pos="720"/>
        </w:tabs>
        <w:spacing w:after="76" w:line="36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bidi="bg-BG"/>
        </w:rPr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ab/>
        <w:t>При оценка на Кандидатите при провеждане на интервюто се отчитат техните умения за логичност, последователност на изложението, стил, лексика и терминология, точното, ясно, изчерпателно и обосновано формулиране на приоритетите в управлението на дейността на предприятието</w:t>
      </w:r>
      <w:r w:rsidR="00F3627A"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,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за което кандидатстват, при съобразяване с приложимата нормативна уредба.</w:t>
      </w:r>
      <w:r w:rsidR="00F3627A"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</w:t>
      </w:r>
      <w:r w:rsidR="00F3627A" w:rsidRPr="00913B10">
        <w:rPr>
          <w:rFonts w:ascii="Times New Roman" w:eastAsia="Times New Roman" w:hAnsi="Times New Roman"/>
          <w:spacing w:val="-4"/>
          <w:sz w:val="24"/>
          <w:szCs w:val="24"/>
          <w:lang w:eastAsia="bg-BG"/>
        </w:rPr>
        <w:t>Допълнителен критерий за оценка на представянето е</w:t>
      </w:r>
      <w:r w:rsidR="00F3627A" w:rsidRPr="00913B10">
        <w:rPr>
          <w:rFonts w:ascii="Times New Roman" w:eastAsia="Times New Roman" w:hAnsi="Times New Roman"/>
          <w:b/>
          <w:spacing w:val="-4"/>
          <w:sz w:val="24"/>
          <w:szCs w:val="24"/>
          <w:lang w:eastAsia="bg-BG"/>
        </w:rPr>
        <w:t xml:space="preserve"> </w:t>
      </w:r>
      <w:r w:rsidR="00F3627A">
        <w:rPr>
          <w:rFonts w:ascii="Times New Roman" w:eastAsia="Times New Roman" w:hAnsi="Times New Roman"/>
          <w:sz w:val="24"/>
          <w:szCs w:val="24"/>
          <w:lang w:eastAsia="bg-BG"/>
        </w:rPr>
        <w:t>л</w:t>
      </w:r>
      <w:r w:rsidR="00F3627A" w:rsidRPr="00F3627A">
        <w:rPr>
          <w:rFonts w:ascii="Times New Roman" w:eastAsia="Times New Roman" w:hAnsi="Times New Roman"/>
          <w:sz w:val="24"/>
          <w:szCs w:val="24"/>
          <w:lang w:eastAsia="bg-BG"/>
        </w:rPr>
        <w:t>ична</w:t>
      </w:r>
      <w:r w:rsidR="00F3627A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="00F3627A" w:rsidRPr="00F3627A">
        <w:rPr>
          <w:rFonts w:ascii="Times New Roman" w:eastAsia="Times New Roman" w:hAnsi="Times New Roman"/>
          <w:sz w:val="24"/>
          <w:szCs w:val="24"/>
          <w:lang w:eastAsia="bg-BG"/>
        </w:rPr>
        <w:t xml:space="preserve"> мотивация на кандидата за успешно реализиране на дейностите, предвидени за длъжността.</w:t>
      </w:r>
    </w:p>
    <w:p w14:paraId="66AF137E" w14:textId="77777777" w:rsidR="00F3627A" w:rsidRDefault="00F3627A" w:rsidP="00A52812">
      <w:pPr>
        <w:pStyle w:val="Bodytext2"/>
        <w:shd w:val="clear" w:color="auto" w:fill="auto"/>
        <w:tabs>
          <w:tab w:val="left" w:pos="720"/>
        </w:tabs>
        <w:spacing w:after="76" w:line="360" w:lineRule="auto"/>
        <w:ind w:firstLine="0"/>
        <w:jc w:val="both"/>
      </w:pPr>
    </w:p>
    <w:p w14:paraId="00E9E3D5" w14:textId="77777777" w:rsidR="00A52812" w:rsidRDefault="00A52812" w:rsidP="00A52812">
      <w:pPr>
        <w:pStyle w:val="Bodytext2"/>
        <w:shd w:val="clear" w:color="auto" w:fill="auto"/>
        <w:spacing w:after="49" w:line="360" w:lineRule="auto"/>
        <w:ind w:firstLine="74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2.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Оценката се извършва по 5-степенна скала, както следва:</w:t>
      </w:r>
    </w:p>
    <w:p w14:paraId="27D60DC4" w14:textId="77777777" w:rsidR="00A52812" w:rsidRDefault="00A52812" w:rsidP="00A52812">
      <w:pPr>
        <w:pStyle w:val="Bodytext2"/>
        <w:shd w:val="clear" w:color="auto" w:fill="auto"/>
        <w:tabs>
          <w:tab w:val="left" w:pos="1074"/>
        </w:tabs>
        <w:spacing w:line="360" w:lineRule="auto"/>
        <w:ind w:left="740" w:firstLine="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5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ab/>
        <w:t>– напълно отговаря на изискванията</w:t>
      </w:r>
    </w:p>
    <w:p w14:paraId="59DAD233" w14:textId="77777777" w:rsidR="00A52812" w:rsidRDefault="00A52812" w:rsidP="00A52812">
      <w:pPr>
        <w:pStyle w:val="Bodytext2"/>
        <w:shd w:val="clear" w:color="auto" w:fill="auto"/>
        <w:tabs>
          <w:tab w:val="left" w:pos="1074"/>
        </w:tabs>
        <w:spacing w:line="360" w:lineRule="auto"/>
        <w:ind w:left="740" w:firstLine="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4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ab/>
        <w:t>– в голяма степен отговаря на изискванията</w:t>
      </w:r>
    </w:p>
    <w:p w14:paraId="3ABEC422" w14:textId="77777777" w:rsidR="00A52812" w:rsidRDefault="00A52812" w:rsidP="00A52812">
      <w:pPr>
        <w:pStyle w:val="Bodytext2"/>
        <w:shd w:val="clear" w:color="auto" w:fill="auto"/>
        <w:tabs>
          <w:tab w:val="left" w:pos="1060"/>
        </w:tabs>
        <w:spacing w:line="360" w:lineRule="auto"/>
        <w:ind w:left="740" w:firstLine="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3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ab/>
        <w:t>– в средна степен отговаря на изискванията</w:t>
      </w:r>
    </w:p>
    <w:p w14:paraId="4377272A" w14:textId="77777777" w:rsidR="00A52812" w:rsidRDefault="00A52812" w:rsidP="00A52812">
      <w:pPr>
        <w:pStyle w:val="Bodytext2"/>
        <w:shd w:val="clear" w:color="auto" w:fill="auto"/>
        <w:tabs>
          <w:tab w:val="left" w:pos="1060"/>
        </w:tabs>
        <w:spacing w:line="360" w:lineRule="auto"/>
        <w:ind w:left="740" w:firstLine="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2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ab/>
        <w:t>– в малка степен отговаря на изискванията</w:t>
      </w:r>
    </w:p>
    <w:p w14:paraId="4D2655CA" w14:textId="77777777" w:rsidR="00A52812" w:rsidRDefault="00A52812" w:rsidP="00A52812">
      <w:pPr>
        <w:pStyle w:val="Bodytext2"/>
        <w:numPr>
          <w:ilvl w:val="0"/>
          <w:numId w:val="5"/>
        </w:numPr>
        <w:shd w:val="clear" w:color="auto" w:fill="auto"/>
        <w:spacing w:after="68" w:line="360" w:lineRule="auto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– не отговаря на изискванията</w:t>
      </w:r>
    </w:p>
    <w:p w14:paraId="52B616ED" w14:textId="77777777" w:rsidR="00A52812" w:rsidRDefault="00A52812" w:rsidP="00A52812">
      <w:pPr>
        <w:pStyle w:val="Bodytext2"/>
        <w:shd w:val="clear" w:color="auto" w:fill="auto"/>
        <w:spacing w:line="360" w:lineRule="auto"/>
        <w:ind w:firstLine="708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Всеки член на Комисията оценява показаните от кандидатите резултати по всеки един от критериите по т. 1.</w:t>
      </w:r>
    </w:p>
    <w:p w14:paraId="2E9A5532" w14:textId="77777777" w:rsidR="00A52812" w:rsidRDefault="00A52812" w:rsidP="00A52812">
      <w:pPr>
        <w:pStyle w:val="Bodytext2"/>
        <w:shd w:val="clear" w:color="auto" w:fill="auto"/>
        <w:tabs>
          <w:tab w:val="left" w:pos="720"/>
        </w:tabs>
        <w:spacing w:after="60" w:line="360" w:lineRule="auto"/>
        <w:ind w:firstLine="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ab/>
        <w:t xml:space="preserve">3.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Резултатът от оценката на конкретния кандидат от всеки член на Комисията се получава като средноаритметична величина от оценките по предходната алинея, а общата оценка от устната част (интервюто) – като средноаритметична величина от оценките на всички членове на Комисията.</w:t>
      </w:r>
    </w:p>
    <w:p w14:paraId="71C3237F" w14:textId="77777777" w:rsidR="00A52812" w:rsidRPr="00DA44BD" w:rsidRDefault="00A52812" w:rsidP="00A52812">
      <w:pPr>
        <w:pStyle w:val="Bodytext2"/>
        <w:shd w:val="clear" w:color="auto" w:fill="auto"/>
        <w:tabs>
          <w:tab w:val="left" w:pos="720"/>
        </w:tabs>
        <w:spacing w:after="56" w:line="360" w:lineRule="auto"/>
        <w:ind w:firstLine="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lastRenderedPageBreak/>
        <w:tab/>
        <w:t xml:space="preserve">4.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Кандидати, оценката на които по реда на предходната алинея е по-ниска от „4“ не подлежат на класиране в конкурсната процедура.</w:t>
      </w:r>
    </w:p>
    <w:p w14:paraId="6635B226" w14:textId="77777777" w:rsidR="00A52812" w:rsidRDefault="00A52812" w:rsidP="00A52812">
      <w:pPr>
        <w:pStyle w:val="Bodytext2"/>
        <w:shd w:val="clear" w:color="auto" w:fill="auto"/>
        <w:spacing w:after="184" w:line="360" w:lineRule="auto"/>
        <w:ind w:firstLine="708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val="en-US" w:bidi="bg-BG"/>
        </w:rPr>
        <w:t>III</w:t>
      </w: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 xml:space="preserve">.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Крайната оценка на кандидатите се получава като сума от оценките им по писмената част с тегло 40% и по устната част (интервюто) с тегло 60% по формулата:</w:t>
      </w:r>
    </w:p>
    <w:p w14:paraId="7F994712" w14:textId="536F2B7D" w:rsidR="008260A0" w:rsidRPr="00A52812" w:rsidRDefault="00A52812" w:rsidP="00A52812">
      <w:pPr>
        <w:pStyle w:val="Bodytext8"/>
        <w:shd w:val="clear" w:color="auto" w:fill="auto"/>
        <w:spacing w:before="0" w:after="176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bg-BG"/>
        </w:rPr>
        <w:t>крайна оценка = (оценка от писмената част) х 0,4 + (оценка от</w:t>
      </w:r>
      <w:r>
        <w:rPr>
          <w:rFonts w:ascii="Times New Roman" w:hAnsi="Times New Roman" w:cs="Times New Roman"/>
          <w:color w:val="000000"/>
          <w:sz w:val="24"/>
          <w:szCs w:val="24"/>
          <w:lang w:bidi="bg-BG"/>
        </w:rPr>
        <w:br/>
        <w:t>устната част) х 0,6</w:t>
      </w:r>
    </w:p>
    <w:sectPr w:rsidR="008260A0" w:rsidRPr="00A5281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DB48D" w14:textId="77777777" w:rsidR="00C2250E" w:rsidRDefault="00C2250E">
      <w:pPr>
        <w:spacing w:after="0" w:line="240" w:lineRule="auto"/>
      </w:pPr>
      <w:r>
        <w:separator/>
      </w:r>
    </w:p>
  </w:endnote>
  <w:endnote w:type="continuationSeparator" w:id="0">
    <w:p w14:paraId="1FE870CE" w14:textId="77777777" w:rsidR="00C2250E" w:rsidRDefault="00C2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164B" w14:textId="5440D0F6" w:rsidR="000B1BC5" w:rsidRDefault="00A52812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F15D66">
      <w:rPr>
        <w:noProof/>
      </w:rPr>
      <w:t>3</w:t>
    </w:r>
    <w:r>
      <w:fldChar w:fldCharType="end"/>
    </w:r>
  </w:p>
  <w:p w14:paraId="453A3681" w14:textId="77777777" w:rsidR="000B1BC5" w:rsidRDefault="00F15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C6FA5" w14:textId="77777777" w:rsidR="00C2250E" w:rsidRDefault="00C2250E">
      <w:pPr>
        <w:spacing w:after="0" w:line="240" w:lineRule="auto"/>
      </w:pPr>
      <w:r>
        <w:separator/>
      </w:r>
    </w:p>
  </w:footnote>
  <w:footnote w:type="continuationSeparator" w:id="0">
    <w:p w14:paraId="65A4B273" w14:textId="77777777" w:rsidR="00C2250E" w:rsidRDefault="00C22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DB5"/>
    <w:multiLevelType w:val="multilevel"/>
    <w:tmpl w:val="2F0E9E5A"/>
    <w:lvl w:ilvl="0">
      <w:start w:val="2"/>
      <w:numFmt w:val="decimal"/>
      <w:lvlText w:val="%1"/>
      <w:lvlJc w:val="left"/>
      <w:pPr>
        <w:ind w:left="110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20" w:hanging="360"/>
      </w:p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09C9118C"/>
    <w:multiLevelType w:val="multilevel"/>
    <w:tmpl w:val="D4A2F48E"/>
    <w:lvl w:ilvl="0">
      <w:start w:val="1"/>
      <w:numFmt w:val="decimal"/>
      <w:lvlText w:val="%1"/>
      <w:lvlJc w:val="left"/>
      <w:pPr>
        <w:ind w:left="1100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20" w:hanging="360"/>
      </w:p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37CD6173"/>
    <w:multiLevelType w:val="hybridMultilevel"/>
    <w:tmpl w:val="BDF860CC"/>
    <w:lvl w:ilvl="0" w:tplc="3D543B4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B0B68"/>
    <w:multiLevelType w:val="multilevel"/>
    <w:tmpl w:val="A8A0B198"/>
    <w:lvl w:ilvl="0"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bg-BG" w:eastAsia="bg-BG" w:bidi="bg-BG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79644C80"/>
    <w:multiLevelType w:val="multilevel"/>
    <w:tmpl w:val="260CFECE"/>
    <w:lvl w:ilvl="0">
      <w:start w:val="3"/>
      <w:numFmt w:val="decimal"/>
      <w:lvlText w:val="%1"/>
      <w:lvlJc w:val="left"/>
      <w:pPr>
        <w:ind w:left="110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20" w:hanging="360"/>
      </w:p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7D160652"/>
    <w:multiLevelType w:val="multilevel"/>
    <w:tmpl w:val="34A6396C"/>
    <w:lvl w:ilvl="0">
      <w:start w:val="4"/>
      <w:numFmt w:val="decimal"/>
      <w:lvlText w:val="%1"/>
      <w:lvlJc w:val="left"/>
      <w:pPr>
        <w:ind w:left="110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20" w:hanging="360"/>
      </w:p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12"/>
    <w:rsid w:val="00140878"/>
    <w:rsid w:val="0014661F"/>
    <w:rsid w:val="00400959"/>
    <w:rsid w:val="00610809"/>
    <w:rsid w:val="00641909"/>
    <w:rsid w:val="007D48D1"/>
    <w:rsid w:val="008260A0"/>
    <w:rsid w:val="00883E0A"/>
    <w:rsid w:val="0090023B"/>
    <w:rsid w:val="00913B10"/>
    <w:rsid w:val="00A52812"/>
    <w:rsid w:val="00C2250E"/>
    <w:rsid w:val="00D54EB8"/>
    <w:rsid w:val="00DE09CE"/>
    <w:rsid w:val="00F15D66"/>
    <w:rsid w:val="00F3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027F"/>
  <w15:docId w15:val="{14804665-3CAE-41DB-A627-F686F51E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812"/>
    <w:pPr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rsid w:val="00A52812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customStyle="1" w:styleId="a0">
    <w:name w:val="Шрифт на абзаца по подразбиране"/>
    <w:rsid w:val="00A52812"/>
  </w:style>
  <w:style w:type="paragraph" w:customStyle="1" w:styleId="Bodytext2">
    <w:name w:val="Body text (2)"/>
    <w:basedOn w:val="a"/>
    <w:rsid w:val="00A52812"/>
    <w:pPr>
      <w:widowControl w:val="0"/>
      <w:shd w:val="clear" w:color="auto" w:fill="FFFFFF"/>
      <w:spacing w:after="0" w:line="0" w:lineRule="atLeast"/>
      <w:ind w:hanging="360"/>
    </w:pPr>
    <w:rPr>
      <w:rFonts w:ascii="Verdana" w:eastAsia="Verdana" w:hAnsi="Verdana" w:cs="Verdana"/>
    </w:rPr>
  </w:style>
  <w:style w:type="paragraph" w:customStyle="1" w:styleId="Bodytext8">
    <w:name w:val="Body text (8)"/>
    <w:basedOn w:val="a"/>
    <w:rsid w:val="00A52812"/>
    <w:pPr>
      <w:widowControl w:val="0"/>
      <w:shd w:val="clear" w:color="auto" w:fill="FFFFFF"/>
      <w:spacing w:before="300" w:after="180" w:line="288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a1">
    <w:name w:val="Списък на абзаци"/>
    <w:basedOn w:val="a"/>
    <w:rsid w:val="00A52812"/>
    <w:pPr>
      <w:ind w:left="720"/>
    </w:pPr>
  </w:style>
  <w:style w:type="paragraph" w:styleId="Footer">
    <w:name w:val="footer"/>
    <w:basedOn w:val="Normal"/>
    <w:link w:val="FooterChar"/>
    <w:rsid w:val="00A5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5281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Pesheva</dc:creator>
  <cp:keywords/>
  <dc:description/>
  <cp:lastModifiedBy>user</cp:lastModifiedBy>
  <cp:revision>3</cp:revision>
  <dcterms:created xsi:type="dcterms:W3CDTF">2020-12-04T12:39:00Z</dcterms:created>
  <dcterms:modified xsi:type="dcterms:W3CDTF">2021-01-20T14:52:00Z</dcterms:modified>
</cp:coreProperties>
</file>